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B58DF" w14:textId="77777777" w:rsidR="00C85EB9" w:rsidRDefault="000159E6">
      <w:pPr>
        <w:rPr>
          <w:lang w:eastAsia="zh-CN"/>
        </w:rPr>
      </w:pPr>
      <w:bookmarkStart w:id="0" w:name="_GoBack"/>
      <w:bookmarkEnd w:id="0"/>
    </w:p>
    <w:p w14:paraId="4D17E4A2" w14:textId="198F366E" w:rsidR="000E5BA7" w:rsidRPr="000E5BA7" w:rsidRDefault="000E5BA7" w:rsidP="000E5BA7">
      <w:pPr>
        <w:spacing w:beforeLines="50" w:before="120" w:afterLines="100" w:after="24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S1</w:t>
      </w:r>
      <w:r w:rsidRPr="000E5BA7">
        <w:rPr>
          <w:rFonts w:ascii="Times New Roman" w:hAnsi="Times New Roman" w:cs="Times New Roman"/>
          <w:b/>
          <w:noProof/>
        </w:rPr>
        <w:t xml:space="preserve"> Robustness of data selection method</w:t>
      </w:r>
    </w:p>
    <w:p w14:paraId="28AAF13F" w14:textId="35B4AEA5" w:rsidR="000E5BA7" w:rsidRDefault="000E5BA7" w:rsidP="000E5BA7">
      <w:pPr>
        <w:spacing w:beforeLines="50" w:before="120" w:afterLines="100" w:after="2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To test the robustness of ozone trends results against the data/site</w:t>
      </w:r>
      <w:r w:rsidR="00703BD9">
        <w:rPr>
          <w:rFonts w:ascii="Times New Roman" w:hAnsi="Times New Roman" w:cs="Times New Roman"/>
          <w:noProof/>
        </w:rPr>
        <w:t xml:space="preserve"> selection method, we used two</w:t>
      </w:r>
      <w:r>
        <w:rPr>
          <w:rFonts w:ascii="Times New Roman" w:hAnsi="Times New Roman" w:cs="Times New Roman"/>
          <w:noProof/>
        </w:rPr>
        <w:t xml:space="preserve"> alternate methods to choose sites, as follows.</w:t>
      </w:r>
    </w:p>
    <w:p w14:paraId="2F1D51E1" w14:textId="4ADD3219" w:rsidR="000E5BA7" w:rsidRPr="00D7324A" w:rsidRDefault="000E5BA7" w:rsidP="000E5BA7">
      <w:pPr>
        <w:spacing w:beforeLines="50" w:before="120" w:afterLines="100" w:after="240"/>
        <w:rPr>
          <w:rFonts w:ascii="Times New Roman" w:hAnsi="Times New Roman" w:cs="Times New Roman"/>
          <w:noProof/>
        </w:rPr>
      </w:pPr>
      <w:r w:rsidRPr="00D7324A">
        <w:rPr>
          <w:rFonts w:ascii="Times New Roman" w:hAnsi="Times New Roman" w:cs="Times New Roman"/>
          <w:noProof/>
        </w:rPr>
        <w:t xml:space="preserve">The </w:t>
      </w:r>
      <w:r>
        <w:rPr>
          <w:rFonts w:ascii="Times New Roman" w:hAnsi="Times New Roman" w:cs="Times New Roman"/>
          <w:noProof/>
          <w:lang w:eastAsia="zh-CN"/>
        </w:rPr>
        <w:t>first</w:t>
      </w:r>
      <w:r w:rsidRPr="00D7324A">
        <w:rPr>
          <w:rFonts w:ascii="Times New Roman" w:hAnsi="Times New Roman" w:cs="Times New Roman"/>
          <w:noProof/>
        </w:rPr>
        <w:t xml:space="preserve"> choice </w:t>
      </w:r>
      <w:r w:rsidRPr="00D7324A">
        <w:rPr>
          <w:rFonts w:ascii="Times New Roman" w:hAnsi="Times New Roman" w:cs="Times New Roman"/>
        </w:rPr>
        <w:t xml:space="preserve">concerns the temporal continuity of valid data at each site, and it only </w:t>
      </w:r>
      <w:r>
        <w:rPr>
          <w:rFonts w:ascii="Times New Roman" w:hAnsi="Times New Roman" w:cs="Times New Roman"/>
        </w:rPr>
        <w:t>includes</w:t>
      </w:r>
      <w:r w:rsidRPr="00D7324A">
        <w:rPr>
          <w:rFonts w:ascii="Times New Roman" w:hAnsi="Times New Roman" w:cs="Times New Roman"/>
        </w:rPr>
        <w:t xml:space="preserve"> sites with valid data in at least three </w:t>
      </w:r>
      <w:r>
        <w:rPr>
          <w:rFonts w:ascii="Times New Roman" w:hAnsi="Times New Roman" w:cs="Times New Roman"/>
        </w:rPr>
        <w:t>years for every five years (1995–1999, 2000–2004</w:t>
      </w:r>
      <w:r w:rsidRPr="00D7324A">
        <w:rPr>
          <w:rFonts w:ascii="Times New Roman" w:hAnsi="Times New Roman" w:cs="Times New Roman"/>
        </w:rPr>
        <w:t>, etc.) – this leads t</w:t>
      </w:r>
      <w:r w:rsidRPr="00D7324A">
        <w:rPr>
          <w:rFonts w:ascii="Times New Roman" w:hAnsi="Times New Roman"/>
          <w:color w:val="000000" w:themeColor="text1"/>
          <w:shd w:val="clear" w:color="auto" w:fill="FFFFFF"/>
        </w:rPr>
        <w:t xml:space="preserve">o a total of </w:t>
      </w:r>
      <w:r w:rsidR="001C421C">
        <w:rPr>
          <w:rFonts w:ascii="Times New Roman" w:hAnsi="Times New Roman"/>
          <w:color w:val="000000" w:themeColor="text1"/>
          <w:shd w:val="clear" w:color="auto" w:fill="FFFFFF"/>
          <w:lang w:eastAsia="zh-CN"/>
        </w:rPr>
        <w:t>481</w:t>
      </w:r>
      <w:r>
        <w:rPr>
          <w:rFonts w:ascii="Times New Roman" w:hAnsi="Times New Roman"/>
          <w:color w:val="000000" w:themeColor="text1"/>
          <w:shd w:val="clear" w:color="auto" w:fill="FFFFFF"/>
          <w:lang w:eastAsia="zh-CN"/>
        </w:rPr>
        <w:t xml:space="preserve"> site</w:t>
      </w:r>
      <w:r w:rsidRPr="00D7324A">
        <w:rPr>
          <w:rFonts w:ascii="Times New Roman" w:hAnsi="Times New Roman"/>
          <w:color w:val="000000" w:themeColor="text1"/>
          <w:shd w:val="clear" w:color="auto" w:fill="FFFFFF"/>
        </w:rPr>
        <w:t>s</w:t>
      </w:r>
      <w:r w:rsidR="001C421C">
        <w:rPr>
          <w:rFonts w:ascii="Times New Roman" w:hAnsi="Times New Roman"/>
          <w:color w:val="000000" w:themeColor="text1"/>
          <w:shd w:val="clear" w:color="auto" w:fill="FFFFFF"/>
          <w:lang w:eastAsia="zh-CN"/>
        </w:rPr>
        <w:t xml:space="preserve"> (172 urban sites, 113 suburban sites, 196 rural sites)</w:t>
      </w:r>
      <w:r w:rsidRPr="00E05F3A">
        <w:rPr>
          <w:rFonts w:ascii="Times New Roman" w:hAnsi="Times New Roman"/>
          <w:color w:val="000000" w:themeColor="text1"/>
          <w:shd w:val="clear" w:color="auto" w:fill="FFFFFF"/>
        </w:rPr>
        <w:t xml:space="preserve">. The spatial distribution of ozone trends in these </w:t>
      </w:r>
      <w:r>
        <w:rPr>
          <w:rFonts w:ascii="Times New Roman" w:hAnsi="Times New Roman"/>
          <w:color w:val="000000" w:themeColor="text1"/>
          <w:shd w:val="clear" w:color="auto" w:fill="FFFFFF"/>
          <w:lang w:eastAsia="zh-CN"/>
        </w:rPr>
        <w:t>492 site</w:t>
      </w:r>
      <w:r w:rsidRPr="00E05F3A">
        <w:rPr>
          <w:rFonts w:ascii="Times New Roman" w:hAnsi="Times New Roman"/>
          <w:color w:val="000000" w:themeColor="text1"/>
          <w:shd w:val="clear" w:color="auto" w:fill="FFFFFF"/>
        </w:rPr>
        <w:t xml:space="preserve">s is consistent with the trends in the default </w:t>
      </w:r>
      <w:r>
        <w:rPr>
          <w:rFonts w:ascii="Times New Roman" w:hAnsi="Times New Roman"/>
          <w:color w:val="000000" w:themeColor="text1"/>
          <w:shd w:val="clear" w:color="auto" w:fill="FFFFFF"/>
          <w:lang w:eastAsia="zh-CN"/>
        </w:rPr>
        <w:t>685 site</w:t>
      </w:r>
      <w:r w:rsidRPr="00E05F3A">
        <w:rPr>
          <w:rFonts w:ascii="Times New Roman" w:hAnsi="Times New Roman"/>
          <w:color w:val="000000" w:themeColor="text1"/>
          <w:shd w:val="clear" w:color="auto" w:fill="FFFFFF"/>
        </w:rPr>
        <w:t>s.</w:t>
      </w:r>
      <w:r w:rsidRPr="00D7324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14:paraId="5B37B3A5" w14:textId="2ECAB6AC" w:rsidR="00B7135E" w:rsidRPr="00703BD9" w:rsidRDefault="000E5BA7" w:rsidP="00703BD9">
      <w:pPr>
        <w:spacing w:beforeLines="50" w:before="120" w:afterLines="100" w:after="240"/>
        <w:rPr>
          <w:rFonts w:ascii="Times New Roman" w:hAnsi="Times New Roman"/>
          <w:color w:val="000000" w:themeColor="text1"/>
          <w:shd w:val="clear" w:color="auto" w:fill="FFFFFF"/>
          <w:lang w:eastAsia="zh-CN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The second</w:t>
      </w:r>
      <w:r w:rsidRPr="00D7324A">
        <w:rPr>
          <w:rFonts w:ascii="Times New Roman" w:hAnsi="Times New Roman"/>
          <w:color w:val="000000" w:themeColor="text1"/>
          <w:shd w:val="clear" w:color="auto" w:fill="FFFFFF"/>
        </w:rPr>
        <w:t xml:space="preserve"> choice is much </w:t>
      </w:r>
      <w:r>
        <w:rPr>
          <w:rFonts w:ascii="Times New Roman" w:hAnsi="Times New Roman"/>
          <w:color w:val="000000" w:themeColor="text1"/>
          <w:shd w:val="clear" w:color="auto" w:fill="FFFFFF"/>
        </w:rPr>
        <w:t>s</w:t>
      </w:r>
      <w:r w:rsidR="001C421C">
        <w:rPr>
          <w:rFonts w:ascii="Times New Roman" w:hAnsi="Times New Roman"/>
          <w:color w:val="000000" w:themeColor="text1"/>
          <w:shd w:val="clear" w:color="auto" w:fill="FFFFFF"/>
        </w:rPr>
        <w:t>tricter, and it only selects 358</w:t>
      </w:r>
      <w:r w:rsidRPr="00D7324A">
        <w:rPr>
          <w:rFonts w:ascii="Times New Roman" w:hAnsi="Times New Roman"/>
          <w:color w:val="000000" w:themeColor="text1"/>
          <w:shd w:val="clear" w:color="auto" w:fill="FFFFFF"/>
        </w:rPr>
        <w:t xml:space="preserve"> sites</w:t>
      </w:r>
      <w:r w:rsidR="001C421C">
        <w:rPr>
          <w:rFonts w:ascii="Times New Roman" w:hAnsi="Times New Roman"/>
          <w:color w:val="000000" w:themeColor="text1"/>
          <w:shd w:val="clear" w:color="auto" w:fill="FFFFFF"/>
          <w:lang w:eastAsia="zh-CN"/>
        </w:rPr>
        <w:t xml:space="preserve"> (121 urban sites, 92 suburban sites, 145 rural sites)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D7324A">
        <w:rPr>
          <w:rFonts w:ascii="Times New Roman" w:hAnsi="Times New Roman"/>
          <w:color w:val="000000" w:themeColor="text1"/>
          <w:shd w:val="clear" w:color="auto" w:fill="FFFFFF"/>
        </w:rPr>
        <w:t xml:space="preserve">with valid hourly data in 75% or more of hours </w:t>
      </w:r>
      <w:r>
        <w:rPr>
          <w:rFonts w:ascii="Times New Roman" w:hAnsi="Times New Roman"/>
          <w:color w:val="000000" w:themeColor="text1"/>
          <w:shd w:val="clear" w:color="auto" w:fill="FFFFFF"/>
        </w:rPr>
        <w:t>during</w:t>
      </w:r>
      <w:r w:rsidRPr="00D7324A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hd w:val="clear" w:color="auto" w:fill="FFFFFF"/>
        </w:rPr>
        <w:t>1995–2012</w:t>
      </w:r>
      <w:r w:rsidRPr="00D7324A">
        <w:rPr>
          <w:rFonts w:ascii="Times New Roman" w:hAnsi="Times New Roman"/>
          <w:color w:val="000000" w:themeColor="text1"/>
          <w:shd w:val="clear" w:color="auto" w:fill="FFFFFF"/>
        </w:rPr>
        <w:t xml:space="preserve">. </w:t>
      </w:r>
    </w:p>
    <w:p w14:paraId="2A04B8F6" w14:textId="77777777" w:rsidR="00CF7E93" w:rsidRDefault="00CF7E93">
      <w:pPr>
        <w:rPr>
          <w:lang w:eastAsia="zh-CN"/>
        </w:rPr>
      </w:pPr>
    </w:p>
    <w:p w14:paraId="1F546628" w14:textId="0D82D061" w:rsidR="00CA131F" w:rsidRPr="008367FD" w:rsidRDefault="00CA131F" w:rsidP="00CA131F">
      <w:pPr>
        <w:rPr>
          <w:rFonts w:asciiTheme="majorBidi" w:hAnsiTheme="majorBidi"/>
        </w:rPr>
      </w:pPr>
      <w:r w:rsidRPr="008367FD">
        <w:rPr>
          <w:rFonts w:asciiTheme="majorBidi" w:hAnsiTheme="majorBidi"/>
        </w:rPr>
        <w:t xml:space="preserve">Table </w:t>
      </w:r>
      <w:r>
        <w:rPr>
          <w:rFonts w:asciiTheme="majorBidi" w:hAnsiTheme="majorBidi"/>
          <w:lang w:eastAsia="zh-CN"/>
        </w:rPr>
        <w:t>S</w:t>
      </w:r>
      <w:r w:rsidRPr="008367FD">
        <w:rPr>
          <w:rFonts w:asciiTheme="majorBidi" w:hAnsiTheme="majorBidi"/>
        </w:rPr>
        <w:t>1</w:t>
      </w:r>
      <w:r w:rsidRPr="008367FD">
        <w:rPr>
          <w:rFonts w:asciiTheme="majorBidi" w:hAnsiTheme="majorBidi" w:cstheme="majorBidi"/>
        </w:rPr>
        <w:t>.</w:t>
      </w:r>
      <w:r w:rsidRPr="008367FD">
        <w:rPr>
          <w:rFonts w:asciiTheme="majorBidi" w:hAnsiTheme="majorBidi"/>
        </w:rPr>
        <w:t xml:space="preserve"> Trends and correlations in o</w:t>
      </w:r>
      <w:r w:rsidRPr="008367FD">
        <w:rPr>
          <w:rFonts w:asciiTheme="majorBidi" w:hAnsiTheme="majorBidi" w:hint="eastAsia"/>
        </w:rPr>
        <w:t xml:space="preserve">bserved </w:t>
      </w:r>
      <w:r w:rsidR="00F94BB2">
        <w:rPr>
          <w:rFonts w:asciiTheme="majorBidi" w:hAnsiTheme="majorBidi"/>
        </w:rPr>
        <w:t>European</w:t>
      </w:r>
      <w:r w:rsidR="00403370">
        <w:rPr>
          <w:rFonts w:asciiTheme="majorBidi" w:hAnsiTheme="majorBidi"/>
          <w:lang w:eastAsia="zh-CN"/>
        </w:rPr>
        <w:t xml:space="preserve"> urban, suburban and rural</w:t>
      </w:r>
      <w:r w:rsidRPr="008367FD">
        <w:rPr>
          <w:rFonts w:asciiTheme="majorBidi" w:hAnsiTheme="majorBidi"/>
        </w:rPr>
        <w:t xml:space="preserve"> average ozone </w:t>
      </w:r>
      <w:r w:rsidRPr="008367FD">
        <w:rPr>
          <w:rFonts w:asciiTheme="majorBidi" w:hAnsiTheme="majorBidi" w:hint="eastAsia"/>
        </w:rPr>
        <w:t>during 199</w:t>
      </w:r>
      <w:r w:rsidR="00F94BB2">
        <w:rPr>
          <w:rFonts w:asciiTheme="majorBidi" w:hAnsiTheme="majorBidi" w:hint="eastAsia"/>
        </w:rPr>
        <w:t>5</w:t>
      </w:r>
      <w:r w:rsidRPr="008367FD">
        <w:rPr>
          <w:rFonts w:ascii="Times New Roman" w:hAnsi="Times New Roman"/>
        </w:rPr>
        <w:t>–</w:t>
      </w:r>
      <w:r w:rsidR="00F94BB2">
        <w:rPr>
          <w:rFonts w:asciiTheme="majorBidi" w:hAnsiTheme="majorBidi" w:hint="eastAsia"/>
        </w:rPr>
        <w:t>2012</w:t>
      </w:r>
      <w:r w:rsidRPr="008367FD">
        <w:rPr>
          <w:rFonts w:asciiTheme="majorBidi" w:hAnsiTheme="majorBidi"/>
        </w:rPr>
        <w:t xml:space="preserve"> calculated </w:t>
      </w:r>
      <w:r w:rsidRPr="008367FD">
        <w:rPr>
          <w:rFonts w:asciiTheme="majorBidi" w:hAnsiTheme="majorBidi" w:hint="eastAsia"/>
        </w:rPr>
        <w:t xml:space="preserve">based on </w:t>
      </w:r>
      <w:r w:rsidRPr="008367FD">
        <w:rPr>
          <w:rFonts w:asciiTheme="majorBidi" w:hAnsiTheme="majorBidi"/>
        </w:rPr>
        <w:t xml:space="preserve">different data selection criteria </w:t>
      </w:r>
      <w:r w:rsidRPr="008367FD">
        <w:rPr>
          <w:rFonts w:asciiTheme="majorBidi" w:hAnsiTheme="majorBidi"/>
          <w:vertAlign w:val="superscript"/>
        </w:rPr>
        <w:t>1</w:t>
      </w:r>
      <w:r w:rsidRPr="008367FD">
        <w:rPr>
          <w:rFonts w:asciiTheme="majorBidi" w:hAnsiTheme="majorBidi" w:hint="eastAsia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1"/>
        <w:gridCol w:w="769"/>
        <w:gridCol w:w="770"/>
        <w:gridCol w:w="924"/>
        <w:gridCol w:w="769"/>
        <w:gridCol w:w="770"/>
        <w:gridCol w:w="925"/>
        <w:gridCol w:w="770"/>
        <w:gridCol w:w="770"/>
        <w:gridCol w:w="862"/>
      </w:tblGrid>
      <w:tr w:rsidR="00CA131F" w:rsidRPr="00F72AE4" w14:paraId="50FB18BD" w14:textId="77777777" w:rsidTr="003A4116">
        <w:tc>
          <w:tcPr>
            <w:tcW w:w="937" w:type="pct"/>
            <w:vMerge w:val="restart"/>
            <w:tcBorders>
              <w:left w:val="nil"/>
              <w:right w:val="nil"/>
            </w:tcBorders>
          </w:tcPr>
          <w:p w14:paraId="03DFBE70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Data selection criteri</w:t>
            </w:r>
            <w:r w:rsidRPr="00F72AE4">
              <w:rPr>
                <w:rFonts w:asciiTheme="majorBidi" w:hAnsiTheme="majorBidi"/>
                <w:sz w:val="18"/>
                <w:szCs w:val="18"/>
              </w:rPr>
              <w:t>a</w:t>
            </w:r>
          </w:p>
        </w:tc>
        <w:tc>
          <w:tcPr>
            <w:tcW w:w="4063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999811D" w14:textId="77777777" w:rsidR="00CA131F" w:rsidRPr="00F72AE4" w:rsidRDefault="00CA131F" w:rsidP="003A4116">
            <w:pPr>
              <w:jc w:val="center"/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/>
                <w:sz w:val="18"/>
                <w:szCs w:val="18"/>
              </w:rPr>
              <w:t xml:space="preserve">Ozone trend </w:t>
            </w:r>
            <w:r w:rsidRPr="00F72AE4">
              <w:rPr>
                <w:rFonts w:asciiTheme="majorBidi" w:hAnsiTheme="majorBidi" w:hint="eastAsia"/>
                <w:sz w:val="18"/>
                <w:szCs w:val="18"/>
              </w:rPr>
              <w:t>and</w:t>
            </w:r>
            <w:r w:rsidRPr="00F72AE4">
              <w:rPr>
                <w:rFonts w:asciiTheme="majorBidi" w:hAnsiTheme="majorBidi"/>
                <w:sz w:val="18"/>
                <w:szCs w:val="18"/>
              </w:rPr>
              <w:t xml:space="preserve"> correlation</w:t>
            </w:r>
          </w:p>
        </w:tc>
      </w:tr>
      <w:tr w:rsidR="00CA131F" w:rsidRPr="00F72AE4" w14:paraId="62453C0E" w14:textId="77777777" w:rsidTr="00843EE2">
        <w:tc>
          <w:tcPr>
            <w:tcW w:w="93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4BF0F761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1365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64F3394" w14:textId="5EC6EB24" w:rsidR="00CA131F" w:rsidRPr="00F72AE4" w:rsidRDefault="000E7BA7" w:rsidP="003A4116">
            <w:pPr>
              <w:rPr>
                <w:rFonts w:asciiTheme="majorBidi" w:hAnsiTheme="majorBidi"/>
                <w:sz w:val="18"/>
                <w:szCs w:val="18"/>
              </w:rPr>
            </w:pPr>
            <w:r>
              <w:rPr>
                <w:rFonts w:asciiTheme="majorBidi" w:hAnsiTheme="majorBidi"/>
                <w:sz w:val="18"/>
                <w:szCs w:val="18"/>
              </w:rPr>
              <w:t>Urban</w:t>
            </w:r>
          </w:p>
        </w:tc>
        <w:tc>
          <w:tcPr>
            <w:tcW w:w="1366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77AB1D2" w14:textId="43C5E033" w:rsidR="00CA131F" w:rsidRPr="00F72AE4" w:rsidRDefault="000E7BA7" w:rsidP="003A4116">
            <w:pPr>
              <w:rPr>
                <w:rFonts w:asciiTheme="majorBidi" w:hAnsiTheme="majorBidi"/>
                <w:sz w:val="18"/>
                <w:szCs w:val="18"/>
              </w:rPr>
            </w:pPr>
            <w:r>
              <w:rPr>
                <w:rFonts w:asciiTheme="majorBidi" w:hAnsiTheme="majorBidi"/>
                <w:sz w:val="18"/>
                <w:szCs w:val="18"/>
              </w:rPr>
              <w:t>Suburban</w:t>
            </w:r>
          </w:p>
        </w:tc>
        <w:tc>
          <w:tcPr>
            <w:tcW w:w="1331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904A546" w14:textId="2CE5A40E" w:rsidR="00CA131F" w:rsidRPr="00F72AE4" w:rsidRDefault="000E7BA7" w:rsidP="003A4116">
            <w:pPr>
              <w:rPr>
                <w:rFonts w:asciiTheme="majorBidi" w:hAnsiTheme="majorBidi"/>
                <w:sz w:val="18"/>
                <w:szCs w:val="18"/>
              </w:rPr>
            </w:pPr>
            <w:r>
              <w:rPr>
                <w:rFonts w:asciiTheme="majorBidi" w:hAnsiTheme="majorBidi"/>
                <w:sz w:val="18"/>
                <w:szCs w:val="18"/>
              </w:rPr>
              <w:t>Rural</w:t>
            </w:r>
          </w:p>
        </w:tc>
      </w:tr>
      <w:tr w:rsidR="00CA131F" w:rsidRPr="00F72AE4" w14:paraId="203D8D9C" w14:textId="77777777" w:rsidTr="00843EE2">
        <w:tc>
          <w:tcPr>
            <w:tcW w:w="937" w:type="pct"/>
            <w:tcBorders>
              <w:left w:val="nil"/>
              <w:bottom w:val="nil"/>
              <w:right w:val="nil"/>
            </w:tcBorders>
          </w:tcPr>
          <w:p w14:paraId="151DC5D2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</w:tcPr>
          <w:p w14:paraId="323ACFDF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Trend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</w:tcPr>
          <w:p w14:paraId="15457BE6" w14:textId="3FF533CB" w:rsidR="00CA131F" w:rsidRPr="00831721" w:rsidRDefault="00CA131F" w:rsidP="003A4116">
            <w:pPr>
              <w:rPr>
                <w:rFonts w:asciiTheme="majorBidi" w:hAnsiTheme="majorBidi"/>
                <w:sz w:val="18"/>
                <w:szCs w:val="18"/>
                <w:vertAlign w:val="superscript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Corr.</w:t>
            </w:r>
            <w:r w:rsidR="00703BD9">
              <w:rPr>
                <w:rFonts w:asciiTheme="majorBidi" w:hAnsiTheme="majorBid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12" w:type="pct"/>
            <w:tcBorders>
              <w:left w:val="nil"/>
              <w:bottom w:val="nil"/>
              <w:right w:val="nil"/>
            </w:tcBorders>
          </w:tcPr>
          <w:p w14:paraId="25AEF0E3" w14:textId="2F70DD3F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  <w:vertAlign w:val="superscript"/>
              </w:rPr>
            </w:pPr>
            <w:r>
              <w:rPr>
                <w:rFonts w:asciiTheme="majorBidi" w:hAnsiTheme="majorBidi" w:hint="eastAsia"/>
                <w:sz w:val="18"/>
                <w:szCs w:val="18"/>
              </w:rPr>
              <w:t>De-trended</w:t>
            </w:r>
            <w:r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F72AE4">
              <w:rPr>
                <w:rFonts w:asciiTheme="majorBidi" w:hAnsiTheme="majorBidi" w:hint="eastAsia"/>
                <w:sz w:val="18"/>
                <w:szCs w:val="18"/>
              </w:rPr>
              <w:t>Corr.</w:t>
            </w:r>
            <w:r w:rsidR="00703BD9">
              <w:rPr>
                <w:rFonts w:asciiTheme="majorBidi" w:hAnsiTheme="majorBidi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</w:tcPr>
          <w:p w14:paraId="435BEF22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Trend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</w:tcPr>
          <w:p w14:paraId="38F1CDCF" w14:textId="3421597B" w:rsidR="00CA131F" w:rsidRPr="00831721" w:rsidRDefault="00CA131F" w:rsidP="003A4116">
            <w:pPr>
              <w:rPr>
                <w:rFonts w:asciiTheme="majorBidi" w:hAnsiTheme="majorBidi"/>
                <w:sz w:val="18"/>
                <w:szCs w:val="18"/>
                <w:vertAlign w:val="superscript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Corr.</w:t>
            </w:r>
            <w:r w:rsidR="00703BD9">
              <w:rPr>
                <w:rFonts w:asciiTheme="majorBidi" w:hAnsiTheme="majorBid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</w:tcPr>
          <w:p w14:paraId="2F714B9A" w14:textId="0BBEEA20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  <w:vertAlign w:val="superscript"/>
              </w:rPr>
            </w:pPr>
            <w:r>
              <w:rPr>
                <w:rFonts w:asciiTheme="majorBidi" w:hAnsiTheme="majorBidi" w:hint="eastAsia"/>
                <w:sz w:val="18"/>
                <w:szCs w:val="18"/>
              </w:rPr>
              <w:t>De-trended</w:t>
            </w:r>
            <w:r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F72AE4">
              <w:rPr>
                <w:rFonts w:asciiTheme="majorBidi" w:hAnsiTheme="majorBidi" w:hint="eastAsia"/>
                <w:sz w:val="18"/>
                <w:szCs w:val="18"/>
              </w:rPr>
              <w:t>Corr.</w:t>
            </w:r>
            <w:r w:rsidR="00703BD9">
              <w:rPr>
                <w:rFonts w:asciiTheme="majorBidi" w:hAnsiTheme="majorBidi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</w:tcPr>
          <w:p w14:paraId="286E1EC6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Trend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</w:tcPr>
          <w:p w14:paraId="239F64E1" w14:textId="4C3B051D" w:rsidR="00CA131F" w:rsidRPr="00831721" w:rsidRDefault="00CA131F" w:rsidP="003A4116">
            <w:pPr>
              <w:rPr>
                <w:rFonts w:asciiTheme="majorBidi" w:hAnsiTheme="majorBidi"/>
                <w:sz w:val="18"/>
                <w:szCs w:val="18"/>
                <w:vertAlign w:val="superscript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Corr.</w:t>
            </w:r>
            <w:r w:rsidR="00703BD9">
              <w:rPr>
                <w:rFonts w:asciiTheme="majorBidi" w:hAnsiTheme="majorBid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78" w:type="pct"/>
            <w:tcBorders>
              <w:left w:val="nil"/>
              <w:bottom w:val="nil"/>
              <w:right w:val="nil"/>
            </w:tcBorders>
          </w:tcPr>
          <w:p w14:paraId="34EDC223" w14:textId="28D668A1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  <w:vertAlign w:val="superscript"/>
              </w:rPr>
            </w:pPr>
            <w:r>
              <w:rPr>
                <w:rFonts w:asciiTheme="majorBidi" w:hAnsiTheme="majorBidi" w:hint="eastAsia"/>
                <w:sz w:val="18"/>
                <w:szCs w:val="18"/>
              </w:rPr>
              <w:t>De-trended</w:t>
            </w:r>
            <w:r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F72AE4">
              <w:rPr>
                <w:rFonts w:asciiTheme="majorBidi" w:hAnsiTheme="majorBidi" w:hint="eastAsia"/>
                <w:sz w:val="18"/>
                <w:szCs w:val="18"/>
              </w:rPr>
              <w:t>Cor</w:t>
            </w:r>
            <w:r w:rsidRPr="00F72AE4">
              <w:rPr>
                <w:rFonts w:asciiTheme="majorBidi" w:hAnsiTheme="majorBidi"/>
                <w:sz w:val="18"/>
                <w:szCs w:val="18"/>
              </w:rPr>
              <w:t>r.</w:t>
            </w:r>
            <w:r w:rsidR="00703BD9">
              <w:rPr>
                <w:rFonts w:asciiTheme="majorBidi" w:hAnsiTheme="majorBidi"/>
                <w:sz w:val="18"/>
                <w:szCs w:val="18"/>
                <w:vertAlign w:val="superscript"/>
              </w:rPr>
              <w:t>6</w:t>
            </w:r>
          </w:p>
        </w:tc>
      </w:tr>
      <w:tr w:rsidR="00CA131F" w:rsidRPr="00F72AE4" w14:paraId="4B785DA3" w14:textId="77777777" w:rsidTr="00843EE2">
        <w:tc>
          <w:tcPr>
            <w:tcW w:w="937" w:type="pct"/>
            <w:tcBorders>
              <w:left w:val="nil"/>
              <w:bottom w:val="nil"/>
              <w:right w:val="nil"/>
            </w:tcBorders>
          </w:tcPr>
          <w:p w14:paraId="746E6BCA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  <w:vertAlign w:val="superscript"/>
              </w:rPr>
            </w:pPr>
            <w:r w:rsidRPr="00F72AE4">
              <w:rPr>
                <w:rFonts w:asciiTheme="majorBidi" w:hAnsiTheme="majorBidi"/>
                <w:sz w:val="18"/>
                <w:szCs w:val="18"/>
              </w:rPr>
              <w:t xml:space="preserve">Default </w:t>
            </w:r>
            <w:r w:rsidRPr="00F72AE4">
              <w:rPr>
                <w:rFonts w:asciiTheme="majorBidi" w:hAnsiTheme="majorBid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</w:tcPr>
          <w:p w14:paraId="4B2A2795" w14:textId="1267DECB" w:rsidR="00CA131F" w:rsidRPr="00F72AE4" w:rsidRDefault="00CA131F" w:rsidP="00CB0F57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</w:t>
            </w:r>
            <w:r w:rsidR="00D7507E">
              <w:rPr>
                <w:rFonts w:asciiTheme="majorBidi" w:hAnsiTheme="majorBidi"/>
                <w:sz w:val="18"/>
                <w:szCs w:val="18"/>
              </w:rPr>
              <w:t>53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</w:tcPr>
          <w:p w14:paraId="2B3D5B11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512" w:type="pct"/>
            <w:tcBorders>
              <w:left w:val="nil"/>
              <w:bottom w:val="nil"/>
              <w:right w:val="nil"/>
            </w:tcBorders>
          </w:tcPr>
          <w:p w14:paraId="6BDB7024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</w:tcPr>
          <w:p w14:paraId="5C6A1488" w14:textId="2414F5A8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</w:t>
            </w:r>
            <w:r w:rsidR="00CB0F57">
              <w:rPr>
                <w:rFonts w:asciiTheme="majorBidi" w:hAnsiTheme="majorBidi" w:hint="eastAsia"/>
                <w:sz w:val="18"/>
                <w:szCs w:val="18"/>
              </w:rPr>
              <w:t>2</w:t>
            </w:r>
            <w:r w:rsidR="00D7507E">
              <w:rPr>
                <w:rFonts w:asciiTheme="majorBidi" w:hAnsiTheme="majorBidi" w:hint="eastAsia"/>
                <w:sz w:val="18"/>
                <w:szCs w:val="18"/>
              </w:rPr>
              <w:t>1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</w:tcPr>
          <w:p w14:paraId="6CA27E32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513" w:type="pct"/>
            <w:tcBorders>
              <w:left w:val="nil"/>
              <w:bottom w:val="nil"/>
              <w:right w:val="nil"/>
            </w:tcBorders>
          </w:tcPr>
          <w:p w14:paraId="30D0275F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</w:tcPr>
          <w:p w14:paraId="3C832DDF" w14:textId="289509D3" w:rsidR="00CA131F" w:rsidRPr="00F72AE4" w:rsidRDefault="00D7507E" w:rsidP="003A4116">
            <w:pPr>
              <w:rPr>
                <w:rFonts w:asciiTheme="majorBidi" w:hAnsiTheme="majorBidi"/>
                <w:sz w:val="18"/>
                <w:szCs w:val="18"/>
              </w:rPr>
            </w:pPr>
            <w:r>
              <w:rPr>
                <w:rFonts w:asciiTheme="majorBidi" w:hAnsiTheme="majorBidi" w:hint="eastAsia"/>
                <w:sz w:val="18"/>
                <w:szCs w:val="18"/>
              </w:rPr>
              <w:t>-0.01</w:t>
            </w: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</w:tcPr>
          <w:p w14:paraId="0F838CFF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</w:p>
        </w:tc>
        <w:tc>
          <w:tcPr>
            <w:tcW w:w="478" w:type="pct"/>
            <w:tcBorders>
              <w:left w:val="nil"/>
              <w:bottom w:val="nil"/>
              <w:right w:val="nil"/>
            </w:tcBorders>
          </w:tcPr>
          <w:p w14:paraId="44C4C2F7" w14:textId="77777777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</w:p>
        </w:tc>
      </w:tr>
      <w:tr w:rsidR="00CA131F" w:rsidRPr="00F72AE4" w14:paraId="3152538F" w14:textId="77777777" w:rsidTr="00703BD9"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14:paraId="09FBA099" w14:textId="5335FD0E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  <w:vertAlign w:val="superscript"/>
              </w:rPr>
            </w:pPr>
            <w:r w:rsidRPr="00F72AE4">
              <w:rPr>
                <w:rFonts w:asciiTheme="majorBidi" w:hAnsiTheme="majorBidi"/>
                <w:sz w:val="18"/>
                <w:szCs w:val="18"/>
              </w:rPr>
              <w:t xml:space="preserve">Data-continuity </w:t>
            </w:r>
            <w:r w:rsidR="00843EE2">
              <w:rPr>
                <w:rFonts w:asciiTheme="majorBidi" w:hAnsiTheme="majorBid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154CCB8D" w14:textId="43174143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</w:t>
            </w:r>
            <w:r w:rsidR="00D7507E">
              <w:rPr>
                <w:rFonts w:asciiTheme="majorBidi" w:hAnsiTheme="majorBidi" w:hint="eastAsia"/>
                <w:sz w:val="18"/>
                <w:szCs w:val="18"/>
              </w:rPr>
              <w:t>56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3E299C04" w14:textId="7F9C73C0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</w:t>
            </w:r>
            <w:r w:rsidRPr="00F72AE4">
              <w:rPr>
                <w:rFonts w:asciiTheme="majorBidi" w:hAnsiTheme="majorBidi"/>
                <w:sz w:val="18"/>
                <w:szCs w:val="18"/>
              </w:rPr>
              <w:t>8</w:t>
            </w:r>
            <w:r w:rsidR="00F144E5">
              <w:rPr>
                <w:rFonts w:asciiTheme="majorBidi" w:hAnsiTheme="majorBidi"/>
                <w:sz w:val="18"/>
                <w:szCs w:val="18"/>
              </w:rPr>
              <w:t>5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</w:tcPr>
          <w:p w14:paraId="5D531D58" w14:textId="67FE6EA3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0.8</w:t>
            </w:r>
            <w:r w:rsidR="00F144E5">
              <w:rPr>
                <w:rFonts w:asciiTheme="majorBidi" w:hAnsiTheme="majorBidi" w:hint="eastAsia"/>
                <w:sz w:val="18"/>
                <w:szCs w:val="18"/>
              </w:rPr>
              <w:t>4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</w:tcPr>
          <w:p w14:paraId="58999547" w14:textId="1A8C8D3E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</w:t>
            </w:r>
            <w:r w:rsidR="007A1FE2">
              <w:rPr>
                <w:rFonts w:asciiTheme="majorBidi" w:hAnsiTheme="majorBidi" w:hint="eastAsia"/>
                <w:sz w:val="18"/>
                <w:szCs w:val="18"/>
              </w:rPr>
              <w:t>2</w:t>
            </w:r>
            <w:r w:rsidR="00D7507E">
              <w:rPr>
                <w:rFonts w:asciiTheme="majorBidi" w:hAnsiTheme="majorBidi" w:hint="eastAsia"/>
                <w:sz w:val="18"/>
                <w:szCs w:val="18"/>
              </w:rPr>
              <w:t>2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1700BC9B" w14:textId="1413023A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0.8</w:t>
            </w:r>
            <w:r w:rsidR="00F144E5">
              <w:rPr>
                <w:rFonts w:asciiTheme="majorBidi" w:hAnsiTheme="majorBidi" w:hint="eastAsia"/>
                <w:sz w:val="18"/>
                <w:szCs w:val="18"/>
              </w:rPr>
              <w:t>2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12504ACC" w14:textId="735D5D53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0.8</w:t>
            </w:r>
            <w:r w:rsidR="00F144E5">
              <w:rPr>
                <w:rFonts w:asciiTheme="majorBidi" w:hAnsiTheme="majorBidi" w:hint="eastAsia"/>
                <w:sz w:val="18"/>
                <w:szCs w:val="18"/>
              </w:rPr>
              <w:t>1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2D522856" w14:textId="420A3021" w:rsidR="00CA131F" w:rsidRPr="00F72AE4" w:rsidRDefault="00D7507E" w:rsidP="003A4116">
            <w:pPr>
              <w:rPr>
                <w:rFonts w:asciiTheme="majorBidi" w:hAnsiTheme="majorBidi"/>
                <w:sz w:val="18"/>
                <w:szCs w:val="18"/>
              </w:rPr>
            </w:pPr>
            <w:r>
              <w:rPr>
                <w:rFonts w:asciiTheme="majorBidi" w:hAnsiTheme="majorBidi" w:hint="eastAsia"/>
                <w:sz w:val="18"/>
                <w:szCs w:val="18"/>
              </w:rPr>
              <w:t>-0.02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43E235DF" w14:textId="35D1E85B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</w:t>
            </w:r>
            <w:r w:rsidRPr="00F72AE4">
              <w:rPr>
                <w:rFonts w:asciiTheme="majorBidi" w:hAnsiTheme="majorBidi"/>
                <w:sz w:val="18"/>
                <w:szCs w:val="18"/>
              </w:rPr>
              <w:t>8</w:t>
            </w:r>
            <w:r w:rsidR="00F144E5">
              <w:rPr>
                <w:rFonts w:asciiTheme="majorBidi" w:hAnsiTheme="majorBidi"/>
                <w:sz w:val="18"/>
                <w:szCs w:val="18"/>
              </w:rPr>
              <w:t>0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</w:tcPr>
          <w:p w14:paraId="5839828E" w14:textId="57D019FB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0.8</w:t>
            </w:r>
            <w:r w:rsidR="00F144E5">
              <w:rPr>
                <w:rFonts w:asciiTheme="majorBidi" w:hAnsiTheme="majorBidi" w:hint="eastAsia"/>
                <w:sz w:val="18"/>
                <w:szCs w:val="18"/>
              </w:rPr>
              <w:t>2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CA131F" w:rsidRPr="00F72AE4" w14:paraId="4B732375" w14:textId="77777777" w:rsidTr="00703BD9"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C63D9" w14:textId="5F5A51E1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  <w:vertAlign w:val="superscript"/>
              </w:rPr>
            </w:pPr>
            <w:r w:rsidRPr="00F72AE4">
              <w:rPr>
                <w:rFonts w:asciiTheme="majorBidi" w:hAnsiTheme="majorBidi"/>
                <w:sz w:val="18"/>
                <w:szCs w:val="18"/>
              </w:rPr>
              <w:t xml:space="preserve">Data-coverage </w:t>
            </w:r>
            <w:r w:rsidR="00843EE2">
              <w:rPr>
                <w:rFonts w:asciiTheme="majorBidi" w:hAnsiTheme="majorBid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F5FEF" w14:textId="5BDAAB5E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</w:t>
            </w:r>
            <w:r w:rsidR="00D7507E">
              <w:rPr>
                <w:rFonts w:asciiTheme="majorBidi" w:hAnsiTheme="majorBidi"/>
                <w:sz w:val="18"/>
                <w:szCs w:val="18"/>
              </w:rPr>
              <w:t>51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04770" w14:textId="7AD4C571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0.8</w:t>
            </w:r>
            <w:r w:rsidR="00F144E5">
              <w:rPr>
                <w:rFonts w:asciiTheme="majorBidi" w:hAnsiTheme="majorBidi" w:hint="eastAsia"/>
                <w:sz w:val="18"/>
                <w:szCs w:val="18"/>
              </w:rPr>
              <w:t>3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17805" w14:textId="12B615E3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0.8</w:t>
            </w:r>
            <w:r w:rsidR="00F144E5">
              <w:rPr>
                <w:rFonts w:asciiTheme="majorBidi" w:hAnsiTheme="majorBidi" w:hint="eastAsia"/>
                <w:sz w:val="18"/>
                <w:szCs w:val="18"/>
              </w:rPr>
              <w:t>2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6139D" w14:textId="5BD826D3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</w:t>
            </w:r>
            <w:r w:rsidR="00D7507E">
              <w:rPr>
                <w:rFonts w:asciiTheme="majorBidi" w:hAnsiTheme="majorBidi"/>
                <w:sz w:val="18"/>
                <w:szCs w:val="18"/>
              </w:rPr>
              <w:t>19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B1F90" w14:textId="6A30DAFE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0.8</w:t>
            </w:r>
            <w:r w:rsidR="00F144E5">
              <w:rPr>
                <w:rFonts w:asciiTheme="majorBidi" w:hAnsiTheme="majorBidi" w:hint="eastAsia"/>
                <w:sz w:val="18"/>
                <w:szCs w:val="18"/>
              </w:rPr>
              <w:t>3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6B3A0" w14:textId="1E20331F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0.8</w:t>
            </w:r>
            <w:r w:rsidR="00F144E5">
              <w:rPr>
                <w:rFonts w:asciiTheme="majorBidi" w:hAnsiTheme="majorBidi" w:hint="eastAsia"/>
                <w:sz w:val="18"/>
                <w:szCs w:val="18"/>
              </w:rPr>
              <w:t>4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D292" w14:textId="3D92C1E0" w:rsidR="00CA131F" w:rsidRPr="00F72AE4" w:rsidRDefault="00D7507E" w:rsidP="003A4116">
            <w:pPr>
              <w:rPr>
                <w:rFonts w:asciiTheme="majorBidi" w:hAnsiTheme="majorBidi"/>
                <w:sz w:val="18"/>
                <w:szCs w:val="18"/>
              </w:rPr>
            </w:pPr>
            <w:r>
              <w:rPr>
                <w:rFonts w:asciiTheme="majorBidi" w:hAnsiTheme="majorBidi"/>
                <w:sz w:val="18"/>
                <w:szCs w:val="18"/>
              </w:rPr>
              <w:t>-</w:t>
            </w:r>
            <w:r w:rsidR="00CA131F" w:rsidRPr="00F72AE4">
              <w:rPr>
                <w:rFonts w:asciiTheme="majorBidi" w:hAnsiTheme="majorBidi" w:hint="eastAsia"/>
                <w:sz w:val="18"/>
                <w:szCs w:val="18"/>
              </w:rPr>
              <w:t>0.</w:t>
            </w:r>
            <w:r>
              <w:rPr>
                <w:rFonts w:asciiTheme="majorBidi" w:hAnsiTheme="majorBidi"/>
                <w:sz w:val="18"/>
                <w:szCs w:val="18"/>
              </w:rPr>
              <w:t>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C15E4" w14:textId="3510F46F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0.8</w:t>
            </w:r>
            <w:r w:rsidR="00F144E5">
              <w:rPr>
                <w:rFonts w:asciiTheme="majorBidi" w:hAnsiTheme="majorBidi" w:hint="eastAsia"/>
                <w:sz w:val="18"/>
                <w:szCs w:val="18"/>
              </w:rPr>
              <w:t>2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08034" w14:textId="1599FCCA" w:rsidR="00CA131F" w:rsidRPr="00F72AE4" w:rsidRDefault="00CA131F" w:rsidP="003A4116">
            <w:pPr>
              <w:rPr>
                <w:rFonts w:asciiTheme="majorBidi" w:hAnsiTheme="majorBidi"/>
                <w:sz w:val="18"/>
                <w:szCs w:val="18"/>
              </w:rPr>
            </w:pPr>
            <w:r w:rsidRPr="00F72AE4">
              <w:rPr>
                <w:rFonts w:asciiTheme="majorBidi" w:hAnsiTheme="majorBidi" w:hint="eastAsia"/>
                <w:sz w:val="18"/>
                <w:szCs w:val="18"/>
              </w:rPr>
              <w:t>0.8</w:t>
            </w:r>
            <w:r w:rsidR="00F144E5">
              <w:rPr>
                <w:rFonts w:asciiTheme="majorBidi" w:hAnsiTheme="majorBidi" w:hint="eastAsia"/>
                <w:sz w:val="18"/>
                <w:szCs w:val="18"/>
              </w:rPr>
              <w:t>2</w:t>
            </w:r>
            <w:r w:rsidRPr="00F72AE4">
              <w:rPr>
                <w:rFonts w:asciiTheme="majorBidi" w:hAnsiTheme="majorBidi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</w:tbl>
    <w:p w14:paraId="7560A0AC" w14:textId="77777777" w:rsidR="00CA131F" w:rsidRPr="00831174" w:rsidRDefault="00CA131F" w:rsidP="00CA131F">
      <w:pPr>
        <w:pStyle w:val="ListParagraph"/>
        <w:numPr>
          <w:ilvl w:val="0"/>
          <w:numId w:val="1"/>
        </w:numPr>
        <w:rPr>
          <w:rFonts w:asciiTheme="majorBidi" w:hAnsiTheme="majorBidi"/>
          <w:sz w:val="24"/>
        </w:rPr>
      </w:pPr>
      <w:r w:rsidRPr="00831174">
        <w:rPr>
          <w:rFonts w:asciiTheme="majorBidi" w:hAnsiTheme="majorBidi"/>
          <w:sz w:val="24"/>
        </w:rPr>
        <w:t xml:space="preserve">** P-value &lt; 0.01, * P-value &lt; 0.05 under an </w:t>
      </w:r>
      <w:r w:rsidRPr="00831174">
        <w:rPr>
          <w:rFonts w:asciiTheme="majorBidi" w:hAnsiTheme="majorBidi"/>
          <w:i/>
          <w:sz w:val="24"/>
        </w:rPr>
        <w:t>F</w:t>
      </w:r>
      <w:r w:rsidRPr="00831174">
        <w:rPr>
          <w:rFonts w:asciiTheme="majorBidi" w:hAnsiTheme="majorBidi"/>
          <w:sz w:val="24"/>
        </w:rPr>
        <w:t xml:space="preserve">-test for trends and a one-sided </w:t>
      </w:r>
      <w:r w:rsidRPr="00831174">
        <w:rPr>
          <w:rFonts w:asciiTheme="majorBidi" w:hAnsiTheme="majorBidi"/>
          <w:i/>
          <w:sz w:val="24"/>
        </w:rPr>
        <w:t>T</w:t>
      </w:r>
      <w:r w:rsidRPr="00831174">
        <w:rPr>
          <w:rFonts w:asciiTheme="majorBidi" w:hAnsiTheme="majorBidi"/>
          <w:sz w:val="24"/>
        </w:rPr>
        <w:t>-test for correlation.</w:t>
      </w:r>
    </w:p>
    <w:p w14:paraId="1700E198" w14:textId="3B78363C" w:rsidR="00CA131F" w:rsidRPr="007361FD" w:rsidRDefault="00CA131F" w:rsidP="00CA131F">
      <w:pPr>
        <w:pStyle w:val="ListParagraph"/>
        <w:numPr>
          <w:ilvl w:val="0"/>
          <w:numId w:val="1"/>
        </w:numPr>
        <w:rPr>
          <w:rFonts w:asciiTheme="majorBidi" w:hAnsiTheme="majorBidi"/>
          <w:sz w:val="24"/>
        </w:rPr>
      </w:pPr>
      <w:r w:rsidRPr="007361FD">
        <w:rPr>
          <w:rFonts w:asciiTheme="majorBidi" w:hAnsiTheme="majorBidi" w:cstheme="majorBidi"/>
          <w:sz w:val="24"/>
          <w:szCs w:val="24"/>
        </w:rPr>
        <w:t xml:space="preserve">based on data in the </w:t>
      </w:r>
      <w:r w:rsidR="00843EE2">
        <w:rPr>
          <w:rFonts w:asciiTheme="majorBidi" w:hAnsiTheme="majorBidi" w:cstheme="majorBidi"/>
          <w:sz w:val="24"/>
          <w:szCs w:val="24"/>
        </w:rPr>
        <w:t>685</w:t>
      </w:r>
      <w:r w:rsidRPr="007361FD">
        <w:rPr>
          <w:rFonts w:asciiTheme="majorBidi" w:hAnsiTheme="majorBidi" w:cstheme="majorBidi"/>
          <w:sz w:val="24"/>
          <w:szCs w:val="24"/>
        </w:rPr>
        <w:t xml:space="preserve"> </w:t>
      </w:r>
      <w:r w:rsidR="00843EE2">
        <w:rPr>
          <w:rFonts w:asciiTheme="majorBidi" w:hAnsiTheme="majorBidi" w:cstheme="majorBidi"/>
          <w:sz w:val="24"/>
          <w:szCs w:val="24"/>
        </w:rPr>
        <w:t>sites</w:t>
      </w:r>
      <w:r>
        <w:rPr>
          <w:rFonts w:asciiTheme="majorBidi" w:hAnsiTheme="majorBidi" w:cstheme="majorBidi"/>
          <w:sz w:val="24"/>
          <w:szCs w:val="24"/>
        </w:rPr>
        <w:t>, our default choice.</w:t>
      </w:r>
    </w:p>
    <w:p w14:paraId="52785C5E" w14:textId="29836DDB" w:rsidR="00CA131F" w:rsidRPr="00DA7DEB" w:rsidRDefault="00CA131F" w:rsidP="00CA131F">
      <w:pPr>
        <w:pStyle w:val="ListParagraph"/>
        <w:numPr>
          <w:ilvl w:val="0"/>
          <w:numId w:val="1"/>
        </w:numPr>
        <w:rPr>
          <w:rFonts w:asciiTheme="majorBidi" w:hAnsiTheme="majorBidi"/>
          <w:sz w:val="24"/>
        </w:rPr>
      </w:pPr>
      <w:r w:rsidRPr="00857C5A">
        <w:rPr>
          <w:rFonts w:asciiTheme="majorBidi" w:hAnsiTheme="majorBidi" w:cstheme="majorBidi"/>
          <w:sz w:val="24"/>
          <w:szCs w:val="24"/>
        </w:rPr>
        <w:t>based on data in the</w:t>
      </w:r>
      <w:r w:rsidR="00843EE2">
        <w:rPr>
          <w:rFonts w:ascii="Times New Roman" w:hAnsi="Times New Roman" w:cs="Times New Roman"/>
          <w:sz w:val="24"/>
          <w:szCs w:val="24"/>
        </w:rPr>
        <w:t xml:space="preserve"> 492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EE2">
        <w:rPr>
          <w:rFonts w:ascii="Times New Roman" w:hAnsi="Times New Roman" w:cs="Times New Roman"/>
          <w:sz w:val="24"/>
          <w:szCs w:val="24"/>
        </w:rPr>
        <w:t>site</w:t>
      </w:r>
      <w:r>
        <w:rPr>
          <w:rFonts w:ascii="Times New Roman" w:hAnsi="Times New Roman" w:cs="Times New Roman"/>
          <w:sz w:val="24"/>
          <w:szCs w:val="24"/>
        </w:rPr>
        <w:t>s covering the sites with valid data in at least three years for every five years.</w:t>
      </w:r>
    </w:p>
    <w:p w14:paraId="6E7C5923" w14:textId="45DD09F6" w:rsidR="00CA131F" w:rsidRPr="007361FD" w:rsidRDefault="00843EE2" w:rsidP="00CA131F">
      <w:pPr>
        <w:pStyle w:val="ListParagraph"/>
        <w:numPr>
          <w:ilvl w:val="0"/>
          <w:numId w:val="1"/>
        </w:numPr>
        <w:rPr>
          <w:rFonts w:asciiTheme="majorBidi" w:hAnsiTheme="majorBidi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based on 373</w:t>
      </w:r>
      <w:r w:rsidR="00CA131F">
        <w:rPr>
          <w:rFonts w:ascii="Times New Roman" w:hAnsi="Times New Roman" w:cs="Times New Roman"/>
          <w:sz w:val="24"/>
          <w:szCs w:val="24"/>
        </w:rPr>
        <w:t xml:space="preserve"> sites with </w:t>
      </w:r>
      <w:r w:rsidR="00CA131F">
        <w:rPr>
          <w:rFonts w:ascii="Times New Roman" w:hAnsi="Times New Roman" w:cs="Times New Roman" w:hint="eastAsia"/>
          <w:sz w:val="24"/>
          <w:szCs w:val="24"/>
        </w:rPr>
        <w:t>more</w:t>
      </w:r>
      <w:r w:rsidR="00CA131F">
        <w:rPr>
          <w:rFonts w:ascii="Times New Roman" w:hAnsi="Times New Roman" w:cs="Times New Roman"/>
          <w:sz w:val="24"/>
          <w:szCs w:val="24"/>
        </w:rPr>
        <w:t xml:space="preserve"> than 75% of hourly data available in all years.</w:t>
      </w:r>
    </w:p>
    <w:p w14:paraId="19B1D7AD" w14:textId="4812C100" w:rsidR="00CA131F" w:rsidRDefault="00843EE2" w:rsidP="00CA131F">
      <w:pPr>
        <w:pStyle w:val="ListParagraph"/>
        <w:numPr>
          <w:ilvl w:val="0"/>
          <w:numId w:val="1"/>
        </w:numPr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Correlation between the European</w:t>
      </w:r>
      <w:r w:rsidR="00CA131F">
        <w:rPr>
          <w:rFonts w:asciiTheme="majorBidi" w:hAnsiTheme="majorBidi"/>
          <w:sz w:val="24"/>
        </w:rPr>
        <w:t xml:space="preserve"> annual ozone time series in a sensitivity case and the time series in the default case. </w:t>
      </w:r>
    </w:p>
    <w:p w14:paraId="56ABC7D6" w14:textId="67ACE338" w:rsidR="00CA131F" w:rsidRDefault="00703BD9" w:rsidP="00CA131F">
      <w:pPr>
        <w:pStyle w:val="ListParagraph"/>
        <w:numPr>
          <w:ilvl w:val="0"/>
          <w:numId w:val="1"/>
        </w:numPr>
        <w:rPr>
          <w:rFonts w:asciiTheme="majorBidi" w:hAnsiTheme="majorBidi"/>
          <w:sz w:val="24"/>
        </w:rPr>
      </w:pPr>
      <w:r>
        <w:rPr>
          <w:rFonts w:asciiTheme="majorBidi" w:hAnsiTheme="majorBidi"/>
          <w:sz w:val="24"/>
        </w:rPr>
        <w:t>Similar to 5</w:t>
      </w:r>
      <w:r w:rsidR="00CA131F">
        <w:rPr>
          <w:rFonts w:asciiTheme="majorBidi" w:hAnsiTheme="majorBidi"/>
          <w:sz w:val="24"/>
        </w:rPr>
        <w:t xml:space="preserve"> but for de-trended ozone.</w:t>
      </w:r>
    </w:p>
    <w:p w14:paraId="35552AB6" w14:textId="77777777" w:rsidR="00CA131F" w:rsidRDefault="00CA131F">
      <w:pPr>
        <w:rPr>
          <w:lang w:eastAsia="zh-CN"/>
        </w:rPr>
      </w:pPr>
    </w:p>
    <w:p w14:paraId="5826A094" w14:textId="77777777" w:rsidR="00B7135E" w:rsidRPr="00A27463" w:rsidRDefault="00B7135E" w:rsidP="00B7135E">
      <w:pPr>
        <w:rPr>
          <w:rFonts w:ascii="Times New Roman" w:hAnsi="Times New Roman" w:cs="Times New Roman"/>
        </w:rPr>
      </w:pPr>
      <w:r w:rsidRPr="0001188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55E0258" wp14:editId="428CC708">
            <wp:extent cx="5274310" cy="6190615"/>
            <wp:effectExtent l="0" t="0" r="889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zone_airbase_trends_percent_reversal_nighttime.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9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B2E59" w14:textId="366B2273" w:rsidR="00B7135E" w:rsidRPr="00A27463" w:rsidRDefault="00B7135E" w:rsidP="00B71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Fig. S1</w:t>
      </w:r>
      <w:r w:rsidRPr="00A27463">
        <w:rPr>
          <w:rFonts w:ascii="Times New Roman" w:hAnsi="Times New Roman" w:cs="Times New Roman"/>
        </w:rPr>
        <w:t xml:space="preserve"> Trends in observed nighttime surface ozone averaged over Europe, calculated based on data from the urban, suburban and rural sites. The black line shows the 1995–2012 linear trends in the </w:t>
      </w:r>
      <w:proofErr w:type="spellStart"/>
      <w:r w:rsidRPr="00A27463">
        <w:rPr>
          <w:rFonts w:ascii="Times New Roman" w:hAnsi="Times New Roman" w:cs="Times New Roman"/>
        </w:rPr>
        <w:t>deseasonalized</w:t>
      </w:r>
      <w:proofErr w:type="spellEnd"/>
      <w:r w:rsidRPr="00A27463">
        <w:rPr>
          <w:rFonts w:ascii="Times New Roman" w:hAnsi="Times New Roman" w:cs="Times New Roman"/>
        </w:rPr>
        <w:t xml:space="preserve"> European monthly ozone anomalies for each 5</w:t>
      </w:r>
      <w:r w:rsidRPr="00A27463">
        <w:rPr>
          <w:rFonts w:ascii="Times New Roman" w:hAnsi="Times New Roman" w:cs="Times New Roman"/>
          <w:vertAlign w:val="superscript"/>
        </w:rPr>
        <w:t>th</w:t>
      </w:r>
      <w:r w:rsidRPr="00A27463">
        <w:rPr>
          <w:rFonts w:ascii="Times New Roman" w:hAnsi="Times New Roman" w:cs="Times New Roman"/>
        </w:rPr>
        <w:t xml:space="preserve"> percentile, the green, red, yellow and blue lines depict the observed trend for seasonal ozone, and the dashed bars indicate their deviations.</w:t>
      </w:r>
    </w:p>
    <w:p w14:paraId="02F3A5A7" w14:textId="77777777" w:rsidR="00B7135E" w:rsidRDefault="00B7135E">
      <w:pPr>
        <w:rPr>
          <w:lang w:eastAsia="zh-CN"/>
        </w:rPr>
      </w:pPr>
    </w:p>
    <w:p w14:paraId="00BD4B4C" w14:textId="77777777" w:rsidR="00B7135E" w:rsidRDefault="00B7135E">
      <w:pPr>
        <w:rPr>
          <w:lang w:eastAsia="zh-CN"/>
        </w:rPr>
      </w:pPr>
    </w:p>
    <w:p w14:paraId="509B1744" w14:textId="77777777" w:rsidR="00B7135E" w:rsidRPr="00A27463" w:rsidRDefault="00B7135E" w:rsidP="00B7135E">
      <w:pPr>
        <w:rPr>
          <w:rFonts w:ascii="Times New Roman" w:hAnsi="Times New Roman" w:cs="Times New Roman"/>
        </w:rPr>
      </w:pPr>
      <w:r w:rsidRPr="00011887">
        <w:rPr>
          <w:rFonts w:ascii="Times New Roman" w:hAnsi="Times New Roman" w:cs="Times New Roman"/>
          <w:noProof/>
        </w:rPr>
        <w:drawing>
          <wp:inline distT="0" distB="0" distL="0" distR="0" wp14:anchorId="54656D02" wp14:editId="5213BE5E">
            <wp:extent cx="4734218" cy="65336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zone_airbase_ozone_directive_standards_b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571" cy="655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87DF7" w14:textId="1CC98DAD" w:rsidR="00B7135E" w:rsidRPr="00A27463" w:rsidRDefault="00B7135E" w:rsidP="00B7135E">
      <w:pPr>
        <w:rPr>
          <w:rFonts w:ascii="Times New Roman" w:hAnsi="Times New Roman" w:cs="Times New Roman"/>
        </w:rPr>
      </w:pPr>
      <w:r w:rsidRPr="00A27463">
        <w:rPr>
          <w:rFonts w:ascii="Times New Roman" w:hAnsi="Times New Roman" w:cs="Times New Roman"/>
        </w:rPr>
        <w:t xml:space="preserve">Fig. </w:t>
      </w:r>
      <w:r>
        <w:rPr>
          <w:rFonts w:ascii="Times New Roman" w:hAnsi="Times New Roman" w:cs="Times New Roman"/>
        </w:rPr>
        <w:t>S2</w:t>
      </w:r>
      <w:r w:rsidRPr="00A27463">
        <w:rPr>
          <w:rFonts w:ascii="Times New Roman" w:hAnsi="Times New Roman" w:cs="Times New Roman"/>
        </w:rPr>
        <w:t xml:space="preserve"> Annual exceedances of the information threshold, i.e., the 1-hourly average of 180 µg/m</w:t>
      </w:r>
      <w:r w:rsidRPr="00A27463">
        <w:rPr>
          <w:rFonts w:ascii="Times New Roman" w:hAnsi="Times New Roman" w:cs="Times New Roman"/>
          <w:vertAlign w:val="superscript"/>
        </w:rPr>
        <w:t>3</w:t>
      </w:r>
      <w:r w:rsidRPr="00A27463">
        <w:rPr>
          <w:rFonts w:ascii="Times New Roman" w:hAnsi="Times New Roman" w:cs="Times New Roman"/>
        </w:rPr>
        <w:t xml:space="preserve"> (blue bars show </w:t>
      </w:r>
      <w:proofErr w:type="gramStart"/>
      <w:r w:rsidRPr="00A27463">
        <w:rPr>
          <w:rFonts w:ascii="Times New Roman" w:hAnsi="Times New Roman" w:cs="Times New Roman"/>
        </w:rPr>
        <w:t>hours</w:t>
      </w:r>
      <w:proofErr w:type="gramEnd"/>
      <w:r w:rsidRPr="00A27463">
        <w:rPr>
          <w:rFonts w:ascii="Times New Roman" w:hAnsi="Times New Roman" w:cs="Times New Roman"/>
        </w:rPr>
        <w:t xml:space="preserve"> times the number of sites) as well as the long-term objective, i.e., the 8-hourly mean of 120 µg/m</w:t>
      </w:r>
      <w:r w:rsidRPr="00A27463">
        <w:rPr>
          <w:rFonts w:ascii="Times New Roman" w:hAnsi="Times New Roman" w:cs="Times New Roman"/>
          <w:vertAlign w:val="superscript"/>
        </w:rPr>
        <w:t>3</w:t>
      </w:r>
      <w:r w:rsidRPr="00A27463">
        <w:rPr>
          <w:rFonts w:ascii="Times New Roman" w:hAnsi="Times New Roman" w:cs="Times New Roman"/>
        </w:rPr>
        <w:t xml:space="preserve"> (red bars show days times twice the number of sites), compared with the annual mean (green lines) and 95</w:t>
      </w:r>
      <w:r w:rsidRPr="00A27463">
        <w:rPr>
          <w:rFonts w:ascii="Times New Roman" w:hAnsi="Times New Roman" w:cs="Times New Roman"/>
          <w:vertAlign w:val="superscript"/>
        </w:rPr>
        <w:t>th</w:t>
      </w:r>
      <w:r w:rsidRPr="00A27463">
        <w:rPr>
          <w:rFonts w:ascii="Times New Roman" w:hAnsi="Times New Roman" w:cs="Times New Roman"/>
        </w:rPr>
        <w:t xml:space="preserve"> percentile ozone concentrations (black lines). Red dotted line shows the target value (long-term objective not to be exceeded more than 25 days per year, averaged over 3 years). Also shown in each panel are their linear trends and correlations between ozone and exceedances. </w:t>
      </w:r>
    </w:p>
    <w:p w14:paraId="78FE58A1" w14:textId="77777777" w:rsidR="00B7135E" w:rsidRDefault="00B7135E">
      <w:pPr>
        <w:rPr>
          <w:lang w:eastAsia="zh-CN"/>
        </w:rPr>
      </w:pPr>
    </w:p>
    <w:sectPr w:rsidR="00B7135E" w:rsidSect="00351B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D55F1"/>
    <w:multiLevelType w:val="hybridMultilevel"/>
    <w:tmpl w:val="591A989A"/>
    <w:lvl w:ilvl="0" w:tplc="F786727E">
      <w:start w:val="1"/>
      <w:numFmt w:val="decimal"/>
      <w:lvlText w:val="%1."/>
      <w:lvlJc w:val="left"/>
      <w:pPr>
        <w:ind w:left="360" w:hanging="360"/>
      </w:pPr>
      <w:rPr>
        <w:rFonts w:asciiTheme="majorBidi" w:eastAsia="宋体" w:hAnsiTheme="majorBidi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7C"/>
    <w:rsid w:val="000133C3"/>
    <w:rsid w:val="000159E6"/>
    <w:rsid w:val="00021F5E"/>
    <w:rsid w:val="00023024"/>
    <w:rsid w:val="000237AC"/>
    <w:rsid w:val="00023EE0"/>
    <w:rsid w:val="00033EB3"/>
    <w:rsid w:val="00044912"/>
    <w:rsid w:val="00054C44"/>
    <w:rsid w:val="0005559A"/>
    <w:rsid w:val="00070C64"/>
    <w:rsid w:val="00071146"/>
    <w:rsid w:val="000722AF"/>
    <w:rsid w:val="00080B55"/>
    <w:rsid w:val="00082E9B"/>
    <w:rsid w:val="000852E7"/>
    <w:rsid w:val="00095CA8"/>
    <w:rsid w:val="000C4EA6"/>
    <w:rsid w:val="000E5BA7"/>
    <w:rsid w:val="000E71C5"/>
    <w:rsid w:val="000E7BA7"/>
    <w:rsid w:val="000F17D8"/>
    <w:rsid w:val="00116202"/>
    <w:rsid w:val="00125DA2"/>
    <w:rsid w:val="0013232C"/>
    <w:rsid w:val="0013671E"/>
    <w:rsid w:val="001376C4"/>
    <w:rsid w:val="00145FB2"/>
    <w:rsid w:val="00166BB1"/>
    <w:rsid w:val="00182F88"/>
    <w:rsid w:val="001905B7"/>
    <w:rsid w:val="00192B8B"/>
    <w:rsid w:val="001A44C8"/>
    <w:rsid w:val="001C2790"/>
    <w:rsid w:val="001C421C"/>
    <w:rsid w:val="001D4430"/>
    <w:rsid w:val="001F20E8"/>
    <w:rsid w:val="001F46DC"/>
    <w:rsid w:val="001F4BD0"/>
    <w:rsid w:val="001F4D2C"/>
    <w:rsid w:val="00216163"/>
    <w:rsid w:val="00222B71"/>
    <w:rsid w:val="00234A5B"/>
    <w:rsid w:val="00235AB7"/>
    <w:rsid w:val="002404DF"/>
    <w:rsid w:val="002728A8"/>
    <w:rsid w:val="00273C9D"/>
    <w:rsid w:val="0027649A"/>
    <w:rsid w:val="00276CD8"/>
    <w:rsid w:val="00283CDB"/>
    <w:rsid w:val="0029013E"/>
    <w:rsid w:val="002A31AA"/>
    <w:rsid w:val="002A404F"/>
    <w:rsid w:val="002A49FA"/>
    <w:rsid w:val="002A7CDE"/>
    <w:rsid w:val="002C3FB9"/>
    <w:rsid w:val="002D5948"/>
    <w:rsid w:val="002E093A"/>
    <w:rsid w:val="002E507C"/>
    <w:rsid w:val="002F1783"/>
    <w:rsid w:val="003024C8"/>
    <w:rsid w:val="00315C68"/>
    <w:rsid w:val="003269EF"/>
    <w:rsid w:val="00337FC6"/>
    <w:rsid w:val="003420E1"/>
    <w:rsid w:val="0034670D"/>
    <w:rsid w:val="00351BF5"/>
    <w:rsid w:val="00371B0C"/>
    <w:rsid w:val="0038446E"/>
    <w:rsid w:val="0039539C"/>
    <w:rsid w:val="00396167"/>
    <w:rsid w:val="003A2DF5"/>
    <w:rsid w:val="003B0A33"/>
    <w:rsid w:val="003B1142"/>
    <w:rsid w:val="003C38CB"/>
    <w:rsid w:val="003D5196"/>
    <w:rsid w:val="003F5AB0"/>
    <w:rsid w:val="00403370"/>
    <w:rsid w:val="00432D78"/>
    <w:rsid w:val="00464000"/>
    <w:rsid w:val="00466796"/>
    <w:rsid w:val="00466D0E"/>
    <w:rsid w:val="00480A38"/>
    <w:rsid w:val="00481739"/>
    <w:rsid w:val="004913FF"/>
    <w:rsid w:val="004A1623"/>
    <w:rsid w:val="004A6765"/>
    <w:rsid w:val="004C052B"/>
    <w:rsid w:val="004D4A4D"/>
    <w:rsid w:val="004D7388"/>
    <w:rsid w:val="004E17F6"/>
    <w:rsid w:val="004E3A41"/>
    <w:rsid w:val="004F2408"/>
    <w:rsid w:val="004F38E1"/>
    <w:rsid w:val="00507154"/>
    <w:rsid w:val="005148FA"/>
    <w:rsid w:val="00515805"/>
    <w:rsid w:val="00530C9D"/>
    <w:rsid w:val="00532BDF"/>
    <w:rsid w:val="00545916"/>
    <w:rsid w:val="00554235"/>
    <w:rsid w:val="00557898"/>
    <w:rsid w:val="00560BC4"/>
    <w:rsid w:val="00564055"/>
    <w:rsid w:val="00566728"/>
    <w:rsid w:val="0057094C"/>
    <w:rsid w:val="00581EF0"/>
    <w:rsid w:val="005879BE"/>
    <w:rsid w:val="00593200"/>
    <w:rsid w:val="005C07B0"/>
    <w:rsid w:val="005C1D69"/>
    <w:rsid w:val="005C2382"/>
    <w:rsid w:val="005D2150"/>
    <w:rsid w:val="005E0B1F"/>
    <w:rsid w:val="00603BAD"/>
    <w:rsid w:val="006164A0"/>
    <w:rsid w:val="00633C2A"/>
    <w:rsid w:val="00637BE2"/>
    <w:rsid w:val="00653E57"/>
    <w:rsid w:val="006607E9"/>
    <w:rsid w:val="0066312C"/>
    <w:rsid w:val="00664490"/>
    <w:rsid w:val="00664E7B"/>
    <w:rsid w:val="0068699F"/>
    <w:rsid w:val="0068702D"/>
    <w:rsid w:val="006917F5"/>
    <w:rsid w:val="006961ED"/>
    <w:rsid w:val="00696CB0"/>
    <w:rsid w:val="006A1E9C"/>
    <w:rsid w:val="006C54B9"/>
    <w:rsid w:val="006C6CBF"/>
    <w:rsid w:val="006D0E9F"/>
    <w:rsid w:val="006D1B58"/>
    <w:rsid w:val="006D22FA"/>
    <w:rsid w:val="006D7CB4"/>
    <w:rsid w:val="006E1404"/>
    <w:rsid w:val="006E1434"/>
    <w:rsid w:val="006E281C"/>
    <w:rsid w:val="006E6BA7"/>
    <w:rsid w:val="006E71E7"/>
    <w:rsid w:val="006F07BE"/>
    <w:rsid w:val="00703BD9"/>
    <w:rsid w:val="0070767C"/>
    <w:rsid w:val="00710E54"/>
    <w:rsid w:val="00720666"/>
    <w:rsid w:val="00721069"/>
    <w:rsid w:val="007212A6"/>
    <w:rsid w:val="007313C8"/>
    <w:rsid w:val="00733BB7"/>
    <w:rsid w:val="007401E3"/>
    <w:rsid w:val="007466C3"/>
    <w:rsid w:val="00752249"/>
    <w:rsid w:val="00756485"/>
    <w:rsid w:val="00757C55"/>
    <w:rsid w:val="007602A4"/>
    <w:rsid w:val="00761893"/>
    <w:rsid w:val="007711B5"/>
    <w:rsid w:val="007A0C83"/>
    <w:rsid w:val="007A1FE2"/>
    <w:rsid w:val="007A3400"/>
    <w:rsid w:val="007C04B4"/>
    <w:rsid w:val="007C4BD3"/>
    <w:rsid w:val="007D2CE5"/>
    <w:rsid w:val="007E10C9"/>
    <w:rsid w:val="008325E9"/>
    <w:rsid w:val="00833BF5"/>
    <w:rsid w:val="00837ECC"/>
    <w:rsid w:val="00843EE2"/>
    <w:rsid w:val="00850019"/>
    <w:rsid w:val="00857E20"/>
    <w:rsid w:val="008816FD"/>
    <w:rsid w:val="008918A9"/>
    <w:rsid w:val="00894242"/>
    <w:rsid w:val="00896347"/>
    <w:rsid w:val="008A4909"/>
    <w:rsid w:val="008B5835"/>
    <w:rsid w:val="008B61BE"/>
    <w:rsid w:val="008B6423"/>
    <w:rsid w:val="008C16DD"/>
    <w:rsid w:val="008C519A"/>
    <w:rsid w:val="008C68FC"/>
    <w:rsid w:val="008E01DE"/>
    <w:rsid w:val="008F17DD"/>
    <w:rsid w:val="008F599A"/>
    <w:rsid w:val="008F6B04"/>
    <w:rsid w:val="008F7A9A"/>
    <w:rsid w:val="0090242C"/>
    <w:rsid w:val="009075BD"/>
    <w:rsid w:val="0091347F"/>
    <w:rsid w:val="00917F2A"/>
    <w:rsid w:val="00927FE3"/>
    <w:rsid w:val="00933EA8"/>
    <w:rsid w:val="00937B84"/>
    <w:rsid w:val="009411DC"/>
    <w:rsid w:val="0095420B"/>
    <w:rsid w:val="0096190F"/>
    <w:rsid w:val="00972107"/>
    <w:rsid w:val="00977ACA"/>
    <w:rsid w:val="009B08C7"/>
    <w:rsid w:val="009C146A"/>
    <w:rsid w:val="009C2BED"/>
    <w:rsid w:val="009C5C0B"/>
    <w:rsid w:val="009D0F7A"/>
    <w:rsid w:val="009D61BF"/>
    <w:rsid w:val="009E0A96"/>
    <w:rsid w:val="009F1D6F"/>
    <w:rsid w:val="00A0231B"/>
    <w:rsid w:val="00A10974"/>
    <w:rsid w:val="00A12AEA"/>
    <w:rsid w:val="00A20F29"/>
    <w:rsid w:val="00A30BDC"/>
    <w:rsid w:val="00A30C69"/>
    <w:rsid w:val="00A452D1"/>
    <w:rsid w:val="00A47419"/>
    <w:rsid w:val="00A628F4"/>
    <w:rsid w:val="00A63AFD"/>
    <w:rsid w:val="00A74A7E"/>
    <w:rsid w:val="00A75733"/>
    <w:rsid w:val="00A93315"/>
    <w:rsid w:val="00A94984"/>
    <w:rsid w:val="00AA7002"/>
    <w:rsid w:val="00AB2B41"/>
    <w:rsid w:val="00AD4C60"/>
    <w:rsid w:val="00AE30FD"/>
    <w:rsid w:val="00AE3E7C"/>
    <w:rsid w:val="00AE778D"/>
    <w:rsid w:val="00AF0B8D"/>
    <w:rsid w:val="00AF347C"/>
    <w:rsid w:val="00AF7B79"/>
    <w:rsid w:val="00B11ADD"/>
    <w:rsid w:val="00B15177"/>
    <w:rsid w:val="00B305CC"/>
    <w:rsid w:val="00B43B97"/>
    <w:rsid w:val="00B52A1F"/>
    <w:rsid w:val="00B7135E"/>
    <w:rsid w:val="00B71566"/>
    <w:rsid w:val="00B730BE"/>
    <w:rsid w:val="00B7790D"/>
    <w:rsid w:val="00B82DB2"/>
    <w:rsid w:val="00B92DDC"/>
    <w:rsid w:val="00B96675"/>
    <w:rsid w:val="00BA0D94"/>
    <w:rsid w:val="00BC070F"/>
    <w:rsid w:val="00BC0B77"/>
    <w:rsid w:val="00BC36B4"/>
    <w:rsid w:val="00BC7E1A"/>
    <w:rsid w:val="00BD7076"/>
    <w:rsid w:val="00BE0A49"/>
    <w:rsid w:val="00BE5848"/>
    <w:rsid w:val="00BE5A0B"/>
    <w:rsid w:val="00BF5B0F"/>
    <w:rsid w:val="00BF6A06"/>
    <w:rsid w:val="00C15BAF"/>
    <w:rsid w:val="00C16D47"/>
    <w:rsid w:val="00C23440"/>
    <w:rsid w:val="00C27C24"/>
    <w:rsid w:val="00C530C4"/>
    <w:rsid w:val="00C56CB7"/>
    <w:rsid w:val="00C633DF"/>
    <w:rsid w:val="00C721F6"/>
    <w:rsid w:val="00C73993"/>
    <w:rsid w:val="00C76C3C"/>
    <w:rsid w:val="00C80091"/>
    <w:rsid w:val="00C8603A"/>
    <w:rsid w:val="00C87109"/>
    <w:rsid w:val="00C97BE5"/>
    <w:rsid w:val="00CA131F"/>
    <w:rsid w:val="00CB0F57"/>
    <w:rsid w:val="00CC06C8"/>
    <w:rsid w:val="00CC4010"/>
    <w:rsid w:val="00CC664B"/>
    <w:rsid w:val="00CD5509"/>
    <w:rsid w:val="00CE2D18"/>
    <w:rsid w:val="00CE67C3"/>
    <w:rsid w:val="00CF38F0"/>
    <w:rsid w:val="00CF41AD"/>
    <w:rsid w:val="00CF7E93"/>
    <w:rsid w:val="00D023F8"/>
    <w:rsid w:val="00D03816"/>
    <w:rsid w:val="00D16B39"/>
    <w:rsid w:val="00D40958"/>
    <w:rsid w:val="00D4350D"/>
    <w:rsid w:val="00D5236B"/>
    <w:rsid w:val="00D54CFF"/>
    <w:rsid w:val="00D7507E"/>
    <w:rsid w:val="00D75443"/>
    <w:rsid w:val="00D77E71"/>
    <w:rsid w:val="00D86037"/>
    <w:rsid w:val="00D864D2"/>
    <w:rsid w:val="00D904C5"/>
    <w:rsid w:val="00DA0178"/>
    <w:rsid w:val="00DB0EE8"/>
    <w:rsid w:val="00DC49D5"/>
    <w:rsid w:val="00DD4BD3"/>
    <w:rsid w:val="00DD7355"/>
    <w:rsid w:val="00DE4E5B"/>
    <w:rsid w:val="00DF2BAC"/>
    <w:rsid w:val="00E020EB"/>
    <w:rsid w:val="00E04214"/>
    <w:rsid w:val="00E413D4"/>
    <w:rsid w:val="00E44AC6"/>
    <w:rsid w:val="00E475E1"/>
    <w:rsid w:val="00E57907"/>
    <w:rsid w:val="00E61539"/>
    <w:rsid w:val="00E659B1"/>
    <w:rsid w:val="00E71068"/>
    <w:rsid w:val="00E75B48"/>
    <w:rsid w:val="00E86970"/>
    <w:rsid w:val="00E91C4D"/>
    <w:rsid w:val="00E948C2"/>
    <w:rsid w:val="00EA1C33"/>
    <w:rsid w:val="00EC09DC"/>
    <w:rsid w:val="00ED6C52"/>
    <w:rsid w:val="00EE27AD"/>
    <w:rsid w:val="00EE4904"/>
    <w:rsid w:val="00EF0878"/>
    <w:rsid w:val="00F01E31"/>
    <w:rsid w:val="00F039B3"/>
    <w:rsid w:val="00F144E5"/>
    <w:rsid w:val="00F14E5F"/>
    <w:rsid w:val="00F278D3"/>
    <w:rsid w:val="00F35B97"/>
    <w:rsid w:val="00F408A4"/>
    <w:rsid w:val="00F4781D"/>
    <w:rsid w:val="00F55719"/>
    <w:rsid w:val="00F61DDD"/>
    <w:rsid w:val="00F6799D"/>
    <w:rsid w:val="00F717FF"/>
    <w:rsid w:val="00F94BB2"/>
    <w:rsid w:val="00FB4EA0"/>
    <w:rsid w:val="00FD1CA1"/>
    <w:rsid w:val="00FE1061"/>
    <w:rsid w:val="00FE6EAB"/>
    <w:rsid w:val="00FF1A11"/>
    <w:rsid w:val="00FF4138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C5B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31F"/>
    <w:pPr>
      <w:widowControl w:val="0"/>
      <w:ind w:firstLine="420"/>
      <w:jc w:val="both"/>
    </w:pPr>
    <w:rPr>
      <w:rFonts w:ascii="Calibri" w:hAnsi="Calibri" w:cs="Arial"/>
      <w:color w:val="00000A"/>
      <w:sz w:val="21"/>
      <w:szCs w:val="22"/>
      <w:lang w:eastAsia="zh-CN"/>
    </w:rPr>
  </w:style>
  <w:style w:type="table" w:styleId="TableGrid">
    <w:name w:val="Table Grid"/>
    <w:basedOn w:val="TableNormal"/>
    <w:uiPriority w:val="59"/>
    <w:rsid w:val="00CA131F"/>
    <w:rPr>
      <w:rFonts w:eastAsiaTheme="minorEastAsia"/>
      <w:sz w:val="20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2019-04-01T01:23:00Z</dcterms:created>
  <dcterms:modified xsi:type="dcterms:W3CDTF">2019-04-01T01:23:00Z</dcterms:modified>
</cp:coreProperties>
</file>